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47B4" w14:textId="77777777" w:rsidR="009B4768" w:rsidRPr="00094C97" w:rsidRDefault="009B4768" w:rsidP="00BE74FD">
      <w:pPr>
        <w:pStyle w:val="Nadpis1"/>
        <w:shd w:val="clear" w:color="auto" w:fill="FFFFFF"/>
        <w:spacing w:before="0" w:line="240" w:lineRule="auto"/>
        <w:jc w:val="center"/>
        <w:rPr>
          <w:rFonts w:ascii="Arial" w:hAnsi="Arial" w:cs="Arial"/>
          <w:caps/>
          <w:color w:val="9BBB59" w:themeColor="accent3"/>
        </w:rPr>
      </w:pPr>
      <w:r w:rsidRPr="00094C97">
        <w:rPr>
          <w:rFonts w:ascii="Arial" w:hAnsi="Arial" w:cs="Arial"/>
          <w:caps/>
          <w:color w:val="9BBB59" w:themeColor="accent3"/>
        </w:rPr>
        <w:t>Academic Staff Mobility with Students</w:t>
      </w:r>
    </w:p>
    <w:p w14:paraId="659C1414" w14:textId="2E94982B" w:rsidR="009B4768" w:rsidRDefault="009B4768" w:rsidP="00653252">
      <w:pPr>
        <w:jc w:val="center"/>
        <w:rPr>
          <w:rFonts w:ascii="Arial" w:eastAsiaTheme="majorEastAsia" w:hAnsi="Arial" w:cs="Arial"/>
          <w:b/>
          <w:bCs/>
          <w:caps/>
          <w:color w:val="9BBB59" w:themeColor="accent3"/>
          <w:sz w:val="28"/>
          <w:szCs w:val="28"/>
        </w:rPr>
      </w:pPr>
      <w:r w:rsidRPr="00094C97">
        <w:rPr>
          <w:rFonts w:ascii="Arial" w:eastAsiaTheme="majorEastAsia" w:hAnsi="Arial" w:cs="Arial"/>
          <w:b/>
          <w:bCs/>
          <w:caps/>
          <w:color w:val="9BBB59" w:themeColor="accent3"/>
          <w:sz w:val="28"/>
          <w:szCs w:val="28"/>
        </w:rPr>
        <w:t>Call 2026</w:t>
      </w:r>
    </w:p>
    <w:p w14:paraId="6F77748D" w14:textId="77777777" w:rsidR="007D28F9" w:rsidRPr="00094C97" w:rsidRDefault="007D28F9" w:rsidP="00653252">
      <w:pPr>
        <w:jc w:val="center"/>
        <w:rPr>
          <w:rFonts w:ascii="Arial" w:eastAsiaTheme="majorEastAsia" w:hAnsi="Arial" w:cs="Arial"/>
          <w:b/>
          <w:bCs/>
          <w:caps/>
          <w:color w:val="9BBB59" w:themeColor="accent3"/>
          <w:sz w:val="28"/>
          <w:szCs w:val="28"/>
        </w:rPr>
      </w:pPr>
    </w:p>
    <w:p w14:paraId="4578DF83" w14:textId="77777777"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t>Basic Conditions</w:t>
      </w:r>
    </w:p>
    <w:p w14:paraId="79EFFC54" w14:textId="77777777" w:rsidR="001E502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At least 5 bachelor’s or master’s students must be accompanied by an academic staff member for a minimum of 30 days (travel days are not included). The maximum </w:t>
      </w:r>
      <w:r w:rsidRPr="00094C97">
        <w:rPr>
          <w:rFonts w:ascii="Arial" w:hAnsi="Arial" w:cs="Arial"/>
        </w:rPr>
        <w:t>number of students per trip is 10. Priority is given to combining students from different faculties. The accompanying academic may be replaced during the stay.</w:t>
      </w:r>
    </w:p>
    <w:p w14:paraId="5160A539" w14:textId="0133C37C" w:rsidR="001E502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The mobility is not intended for doctoral students. If they wish to join, they must prepare an </w:t>
      </w:r>
      <w:r w:rsidRPr="00094C97">
        <w:rPr>
          <w:rFonts w:ascii="Arial" w:hAnsi="Arial" w:cs="Arial"/>
        </w:rPr>
        <w:t xml:space="preserve">individual project and proceed according to the rules for </w:t>
      </w:r>
      <w:hyperlink r:id="rId11" w:history="1">
        <w:r w:rsidRPr="00700CCF">
          <w:rPr>
            <w:rStyle w:val="Hypertextovodkaz"/>
            <w:rFonts w:ascii="Arial" w:hAnsi="Arial" w:cs="Arial"/>
          </w:rPr>
          <w:t>individual long-term doctoral traineeships</w:t>
        </w:r>
      </w:hyperlink>
      <w:r w:rsidRPr="00094C97">
        <w:rPr>
          <w:rFonts w:ascii="Arial" w:hAnsi="Arial" w:cs="Arial"/>
        </w:rPr>
        <w:t xml:space="preserve"> as per the valid </w:t>
      </w:r>
      <w:hyperlink r:id="rId12" w:history="1">
        <w:r w:rsidRPr="00526BDA">
          <w:rPr>
            <w:rStyle w:val="Hypertextovodkaz"/>
            <w:rFonts w:ascii="Arial" w:hAnsi="Arial" w:cs="Arial"/>
          </w:rPr>
          <w:t>schedule</w:t>
        </w:r>
      </w:hyperlink>
      <w:r w:rsidRPr="00094C97">
        <w:rPr>
          <w:rFonts w:ascii="Arial" w:hAnsi="Arial" w:cs="Arial"/>
        </w:rPr>
        <w:t>.</w:t>
      </w:r>
      <w:r w:rsidR="001E5020" w:rsidRPr="00094C97">
        <w:rPr>
          <w:rFonts w:ascii="Arial" w:hAnsi="Arial" w:cs="Arial"/>
        </w:rPr>
        <w:t xml:space="preserve"> </w:t>
      </w:r>
    </w:p>
    <w:p w14:paraId="0B4774D5" w14:textId="06D4CF7A" w:rsidR="00531507"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The number of supported </w:t>
      </w:r>
      <w:r w:rsidR="007E2093">
        <w:rPr>
          <w:rFonts w:ascii="Arial" w:hAnsi="Arial" w:cs="Arial"/>
        </w:rPr>
        <w:t>mobilities</w:t>
      </w:r>
      <w:r w:rsidRPr="00094C97">
        <w:rPr>
          <w:rFonts w:ascii="Arial" w:hAnsi="Arial" w:cs="Arial"/>
        </w:rPr>
        <w:t xml:space="preserve"> in a given calendar year depends on the funds allocated within PPS</w:t>
      </w:r>
      <w:r w:rsidR="00F455D6">
        <w:rPr>
          <w:rFonts w:ascii="Arial" w:hAnsi="Arial" w:cs="Arial"/>
        </w:rPr>
        <w:t>Ř project</w:t>
      </w:r>
      <w:r w:rsidRPr="00094C97">
        <w:rPr>
          <w:rFonts w:ascii="Arial" w:hAnsi="Arial" w:cs="Arial"/>
        </w:rPr>
        <w:t xml:space="preserve"> and designated for the suppor</w:t>
      </w:r>
      <w:r w:rsidRPr="00094C97">
        <w:rPr>
          <w:rFonts w:ascii="Arial" w:hAnsi="Arial" w:cs="Arial"/>
        </w:rPr>
        <w:t>t of academic staff mobility with students.</w:t>
      </w:r>
    </w:p>
    <w:p w14:paraId="3DC937BA" w14:textId="7C187B94" w:rsidR="001E5020" w:rsidRPr="00094C97" w:rsidRDefault="007D28F9" w:rsidP="00DC5C84">
      <w:pPr>
        <w:pStyle w:val="Odstavecseseznamem"/>
        <w:numPr>
          <w:ilvl w:val="0"/>
          <w:numId w:val="10"/>
        </w:numPr>
        <w:ind w:left="426"/>
        <w:jc w:val="both"/>
        <w:rPr>
          <w:rFonts w:ascii="Arial" w:hAnsi="Arial" w:cs="Arial"/>
        </w:rPr>
      </w:pPr>
      <w:r w:rsidRPr="00094C97">
        <w:rPr>
          <w:rFonts w:ascii="Arial" w:hAnsi="Arial" w:cs="Arial"/>
        </w:rPr>
        <w:t>Students will receive from OMVI, based on a Financial Agreement, a scholarship of CZK 20,000 per month to cover subsistence costs, including insurance, vaccinations, visa fees, etc. In addition, their return fli</w:t>
      </w:r>
      <w:r w:rsidRPr="00094C97">
        <w:rPr>
          <w:rFonts w:ascii="Arial" w:hAnsi="Arial" w:cs="Arial"/>
        </w:rPr>
        <w:t xml:space="preserve">ght tickets are covered under a </w:t>
      </w:r>
      <w:hyperlink r:id="rId13" w:history="1">
        <w:r w:rsidRPr="00045E72">
          <w:rPr>
            <w:rStyle w:val="Hypertextovodkaz"/>
            <w:rFonts w:ascii="Arial" w:hAnsi="Arial" w:cs="Arial"/>
          </w:rPr>
          <w:t>Student Agreement</w:t>
        </w:r>
      </w:hyperlink>
      <w:r w:rsidRPr="00094C97">
        <w:rPr>
          <w:rFonts w:ascii="Arial" w:hAnsi="Arial" w:cs="Arial"/>
        </w:rPr>
        <w:t>. Faculties or other institutions may top up the scholarship. Faculties may, for example, contribute to the costs of visas, vaccinations, etc.</w:t>
      </w:r>
    </w:p>
    <w:p w14:paraId="6FB94A85" w14:textId="6E9A3924"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t xml:space="preserve">Call for </w:t>
      </w:r>
      <w:r w:rsidR="007257C2" w:rsidRPr="007257C2">
        <w:rPr>
          <w:rFonts w:ascii="Arial" w:hAnsi="Arial" w:cs="Arial"/>
          <w:color w:val="9BBB59" w:themeColor="accent3"/>
        </w:rPr>
        <w:t>academician</w:t>
      </w:r>
      <w:r w:rsidR="00115FF7">
        <w:rPr>
          <w:rFonts w:ascii="Arial" w:hAnsi="Arial" w:cs="Arial"/>
          <w:color w:val="9BBB59" w:themeColor="accent3"/>
        </w:rPr>
        <w:t>s</w:t>
      </w:r>
    </w:p>
    <w:p w14:paraId="59E66CB5" w14:textId="1762AE50" w:rsidR="001E502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Based on the current call, an </w:t>
      </w:r>
      <w:r w:rsidR="00115FF7" w:rsidRPr="00115FF7">
        <w:rPr>
          <w:rFonts w:ascii="Arial" w:hAnsi="Arial" w:cs="Arial"/>
        </w:rPr>
        <w:t>academician</w:t>
      </w:r>
      <w:r w:rsidR="00115FF7">
        <w:rPr>
          <w:rFonts w:ascii="Arial" w:hAnsi="Arial" w:cs="Arial"/>
        </w:rPr>
        <w:t xml:space="preserve"> </w:t>
      </w:r>
      <w:r w:rsidRPr="00094C97">
        <w:rPr>
          <w:rFonts w:ascii="Arial" w:hAnsi="Arial" w:cs="Arial"/>
        </w:rPr>
        <w:t>subm</w:t>
      </w:r>
      <w:r w:rsidRPr="00094C97">
        <w:rPr>
          <w:rFonts w:ascii="Arial" w:hAnsi="Arial" w:cs="Arial"/>
        </w:rPr>
        <w:t xml:space="preserve">its an </w:t>
      </w:r>
      <w:hyperlink r:id="rId14" w:history="1">
        <w:r w:rsidRPr="00094C97">
          <w:rPr>
            <w:rStyle w:val="Hypertextovodkaz"/>
            <w:rFonts w:ascii="Arial" w:hAnsi="Arial" w:cs="Arial"/>
          </w:rPr>
          <w:t>Application for Support for Academic Staff Mobility with Students</w:t>
        </w:r>
      </w:hyperlink>
      <w:r w:rsidRPr="00094C97">
        <w:rPr>
          <w:rFonts w:ascii="Arial" w:hAnsi="Arial" w:cs="Arial"/>
        </w:rPr>
        <w:t xml:space="preserve"> for the following calendar year. Applications are collected for 30 days from the publication of the call and managed by OMVI.</w:t>
      </w:r>
      <w:r w:rsidR="001E5020" w:rsidRPr="00094C97">
        <w:rPr>
          <w:rFonts w:ascii="Arial" w:hAnsi="Arial" w:cs="Arial"/>
        </w:rPr>
        <w:t xml:space="preserve"> </w:t>
      </w:r>
    </w:p>
    <w:p w14:paraId="0D49779C" w14:textId="27AEF7AB" w:rsidR="00531507"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The submitted applications are assessed by the </w:t>
      </w:r>
      <w:r w:rsidR="00435172" w:rsidRPr="00435172">
        <w:rPr>
          <w:rFonts w:ascii="Arial" w:hAnsi="Arial" w:cs="Arial"/>
        </w:rPr>
        <w:t>Vice-rector for international and public affairs</w:t>
      </w:r>
      <w:r w:rsidRPr="00094C97">
        <w:rPr>
          <w:rFonts w:ascii="Arial" w:hAnsi="Arial" w:cs="Arial"/>
        </w:rPr>
        <w:t>, based on recommendations from the Head of OMVI, the Rector’s Committee for International Relations, and an external evaluator, considering the academic content, involvement of students from multiple fac</w:t>
      </w:r>
      <w:r w:rsidRPr="00094C97">
        <w:rPr>
          <w:rFonts w:ascii="Arial" w:hAnsi="Arial" w:cs="Arial"/>
        </w:rPr>
        <w:t>ulties, and the strategic goals of Mendel University in Brno. In the case of several proposals in the same country or region, efforts will be made to merge the trips.</w:t>
      </w:r>
      <w:r w:rsidR="00D04DD4" w:rsidRPr="00094C97">
        <w:rPr>
          <w:rFonts w:ascii="Arial" w:hAnsi="Arial" w:cs="Arial"/>
        </w:rPr>
        <w:t xml:space="preserve"> </w:t>
      </w:r>
    </w:p>
    <w:p w14:paraId="326CD098" w14:textId="29554BEF" w:rsidR="003F5EF6"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The guarantors of the proposals will be informed of the outcome (approval or rejection</w:t>
      </w:r>
      <w:r w:rsidRPr="00094C97">
        <w:rPr>
          <w:rFonts w:ascii="Arial" w:hAnsi="Arial" w:cs="Arial"/>
        </w:rPr>
        <w:t xml:space="preserve"> of funding) by email no later than 30 days after the closure of the call. Taking into account the planned dates of supported projects, student selection procedures will be gradually announced throughout the year.</w:t>
      </w:r>
    </w:p>
    <w:p w14:paraId="138B2FDD" w14:textId="77777777"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lastRenderedPageBreak/>
        <w:t>Selection Criteria for Academic-led Mobili</w:t>
      </w:r>
      <w:r w:rsidRPr="00094C97">
        <w:rPr>
          <w:rFonts w:ascii="Arial" w:hAnsi="Arial" w:cs="Arial"/>
          <w:color w:val="9BBB59" w:themeColor="accent3"/>
        </w:rPr>
        <w:t>ty Projects</w:t>
      </w:r>
    </w:p>
    <w:p w14:paraId="3A34A1C0" w14:textId="77777777" w:rsidR="00531507"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A prerequisite for an application is pre-arranged cooperation with a non-EU foreign institution, confirmed by a promise of feasibility (email correspondence is sufficient). In addition, the superior’s consent to release the academic for this </w:t>
      </w:r>
      <w:r w:rsidRPr="00094C97">
        <w:rPr>
          <w:rFonts w:ascii="Arial" w:hAnsi="Arial" w:cs="Arial"/>
        </w:rPr>
        <w:t>business trip is required. Applications not meeting these two conditions will not be assessed.</w:t>
      </w:r>
    </w:p>
    <w:p w14:paraId="2CAE02E9" w14:textId="77777777" w:rsidR="00B372A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Relevance of the mobility to the Strategic Plan of MENDELU (20 points)</w:t>
      </w:r>
    </w:p>
    <w:p w14:paraId="43222F90" w14:textId="77777777" w:rsidR="00751502" w:rsidRDefault="007D28F9" w:rsidP="00531507">
      <w:pPr>
        <w:pStyle w:val="Odstavecseseznamem"/>
        <w:numPr>
          <w:ilvl w:val="0"/>
          <w:numId w:val="10"/>
        </w:numPr>
        <w:ind w:left="426"/>
        <w:jc w:val="both"/>
        <w:rPr>
          <w:rFonts w:ascii="Arial" w:hAnsi="Arial" w:cs="Arial"/>
        </w:rPr>
      </w:pPr>
      <w:r w:rsidRPr="00094C97">
        <w:rPr>
          <w:rFonts w:ascii="Arial" w:hAnsi="Arial" w:cs="Arial"/>
        </w:rPr>
        <w:t xml:space="preserve">Mobility to a priority country, see MENDELU </w:t>
      </w:r>
      <w:proofErr w:type="spellStart"/>
      <w:r w:rsidRPr="00094C97">
        <w:rPr>
          <w:rFonts w:ascii="Arial" w:hAnsi="Arial" w:cs="Arial"/>
        </w:rPr>
        <w:t>Internationalisation</w:t>
      </w:r>
      <w:proofErr w:type="spellEnd"/>
      <w:r w:rsidRPr="00094C97">
        <w:rPr>
          <w:rFonts w:ascii="Arial" w:hAnsi="Arial" w:cs="Arial"/>
        </w:rPr>
        <w:t xml:space="preserve"> Strategy (10 points)</w:t>
      </w:r>
    </w:p>
    <w:p w14:paraId="508E1AF1" w14:textId="660AB081" w:rsidR="00B372A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Mobility to a partner university/in cooperation with a partner institution (10 points)</w:t>
      </w:r>
    </w:p>
    <w:p w14:paraId="4EB5DA1D" w14:textId="77777777" w:rsidR="00B372A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Continuity with previous international activities, research, or teaching by the applicant (10 points)</w:t>
      </w:r>
    </w:p>
    <w:p w14:paraId="31EB0F46" w14:textId="3B068ED7" w:rsidR="00B372A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Topic of the mobility and approach – creativity, programme (</w:t>
      </w:r>
      <w:r w:rsidRPr="00094C97">
        <w:rPr>
          <w:rFonts w:ascii="Arial" w:hAnsi="Arial" w:cs="Arial"/>
        </w:rPr>
        <w:t>30 points)</w:t>
      </w:r>
    </w:p>
    <w:p w14:paraId="53AAE6EE" w14:textId="7B6BCEE7" w:rsidR="00B372A0" w:rsidRPr="00094C97" w:rsidRDefault="007D28F9" w:rsidP="00531507">
      <w:pPr>
        <w:pStyle w:val="Odstavecseseznamem"/>
        <w:numPr>
          <w:ilvl w:val="0"/>
          <w:numId w:val="10"/>
        </w:numPr>
        <w:ind w:left="426"/>
        <w:jc w:val="both"/>
        <w:rPr>
          <w:rFonts w:ascii="Arial" w:hAnsi="Arial" w:cs="Arial"/>
        </w:rPr>
      </w:pPr>
      <w:r w:rsidRPr="00094C97">
        <w:rPr>
          <w:rFonts w:ascii="Arial" w:hAnsi="Arial" w:cs="Arial"/>
        </w:rPr>
        <w:t>Expected outputs such as final theses, follow-up projects, articles, promotional activities (10 points)</w:t>
      </w:r>
    </w:p>
    <w:p w14:paraId="5DB7E030" w14:textId="5FAD8D6B" w:rsidR="003F5EF6" w:rsidRPr="00094C97" w:rsidRDefault="00875B0E" w:rsidP="00531507">
      <w:pPr>
        <w:pStyle w:val="Odstavecseseznamem"/>
        <w:numPr>
          <w:ilvl w:val="0"/>
          <w:numId w:val="10"/>
        </w:numPr>
        <w:ind w:left="426"/>
        <w:jc w:val="both"/>
        <w:rPr>
          <w:rFonts w:ascii="Arial" w:hAnsi="Arial" w:cs="Arial"/>
        </w:rPr>
      </w:pPr>
      <w:r>
        <w:rPr>
          <w:rFonts w:ascii="Arial" w:hAnsi="Arial" w:cs="Arial"/>
        </w:rPr>
        <w:t>R</w:t>
      </w:r>
      <w:r w:rsidR="00114C1E">
        <w:rPr>
          <w:rFonts w:ascii="Arial" w:hAnsi="Arial" w:cs="Arial"/>
        </w:rPr>
        <w:t>ange</w:t>
      </w:r>
      <w:r>
        <w:rPr>
          <w:rFonts w:ascii="Arial" w:hAnsi="Arial" w:cs="Arial"/>
        </w:rPr>
        <w:t xml:space="preserve"> </w:t>
      </w:r>
      <w:r w:rsidR="007D28F9" w:rsidRPr="00094C97">
        <w:rPr>
          <w:rFonts w:ascii="Arial" w:hAnsi="Arial" w:cs="Arial"/>
        </w:rPr>
        <w:t>of offer for students / openness to other faculties (each faculty +2 points)</w:t>
      </w:r>
    </w:p>
    <w:p w14:paraId="72208666" w14:textId="77777777"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t>Student Selection</w:t>
      </w:r>
    </w:p>
    <w:p w14:paraId="400F6BE5" w14:textId="58E38BB0" w:rsidR="000C2D5A" w:rsidRPr="00094C97" w:rsidRDefault="007D28F9" w:rsidP="000C2D5A">
      <w:pPr>
        <w:pStyle w:val="Odstavecseseznamem"/>
        <w:numPr>
          <w:ilvl w:val="0"/>
          <w:numId w:val="10"/>
        </w:numPr>
        <w:ind w:left="426"/>
        <w:jc w:val="both"/>
        <w:rPr>
          <w:rFonts w:ascii="Arial" w:hAnsi="Arial" w:cs="Arial"/>
        </w:rPr>
      </w:pPr>
      <w:r w:rsidRPr="00094C97">
        <w:rPr>
          <w:rFonts w:ascii="Arial" w:hAnsi="Arial" w:cs="Arial"/>
        </w:rPr>
        <w:t xml:space="preserve">Student selection procedures will </w:t>
      </w:r>
      <w:r w:rsidRPr="00094C97">
        <w:rPr>
          <w:rFonts w:ascii="Arial" w:hAnsi="Arial" w:cs="Arial"/>
        </w:rPr>
        <w:t>be announced throughout the year in accordance with the planned mobility dates, via the Contact Centre. The calls and applications (in English) will be administered by OMVI and made available in due time to the evaluation committee (</w:t>
      </w:r>
      <w:r w:rsidR="00875B0E">
        <w:rPr>
          <w:rFonts w:ascii="Arial" w:hAnsi="Arial" w:cs="Arial"/>
        </w:rPr>
        <w:t>mobility</w:t>
      </w:r>
      <w:r w:rsidRPr="00094C97">
        <w:rPr>
          <w:rFonts w:ascii="Arial" w:hAnsi="Arial" w:cs="Arial"/>
        </w:rPr>
        <w:t xml:space="preserve"> guarantor, 2 OMVI </w:t>
      </w:r>
      <w:r w:rsidRPr="00094C97">
        <w:rPr>
          <w:rFonts w:ascii="Arial" w:hAnsi="Arial" w:cs="Arial"/>
        </w:rPr>
        <w:t>representatives, possibly another academic). The selection is common for the entire university and is always organised by OMVI in cooperation with the respective guarantor.</w:t>
      </w:r>
    </w:p>
    <w:p w14:paraId="03FA9F8F" w14:textId="77777777" w:rsidR="000C2D5A" w:rsidRPr="00094C97" w:rsidRDefault="007D28F9" w:rsidP="000C2D5A">
      <w:pPr>
        <w:pStyle w:val="Odstavecseseznamem"/>
        <w:numPr>
          <w:ilvl w:val="0"/>
          <w:numId w:val="10"/>
        </w:numPr>
        <w:ind w:left="426"/>
        <w:jc w:val="both"/>
        <w:rPr>
          <w:rFonts w:ascii="Arial" w:hAnsi="Arial" w:cs="Arial"/>
        </w:rPr>
      </w:pPr>
      <w:r w:rsidRPr="00094C97">
        <w:rPr>
          <w:rFonts w:ascii="Arial" w:hAnsi="Arial" w:cs="Arial"/>
        </w:rPr>
        <w:t>The student selection will primarily consider the quality and focus of the propose</w:t>
      </w:r>
      <w:r w:rsidRPr="00094C97">
        <w:rPr>
          <w:rFonts w:ascii="Arial" w:hAnsi="Arial" w:cs="Arial"/>
        </w:rPr>
        <w:t>d student project (1–3 pages, 60 points), relevance to the student’s field of study (30 points), and academic performance (10 points). Each project must include a supervisor, either the bachelor’s/master’s thesis advisor or one of the academics involved in</w:t>
      </w:r>
      <w:r w:rsidRPr="00094C97">
        <w:rPr>
          <w:rFonts w:ascii="Arial" w:hAnsi="Arial" w:cs="Arial"/>
        </w:rPr>
        <w:t xml:space="preserve"> the mobility.</w:t>
      </w:r>
    </w:p>
    <w:p w14:paraId="64D0E5A6" w14:textId="6349A9FE" w:rsidR="003F5EF6" w:rsidRPr="00094C97" w:rsidRDefault="007D28F9" w:rsidP="000C2D5A">
      <w:pPr>
        <w:pStyle w:val="Odstavecseseznamem"/>
        <w:numPr>
          <w:ilvl w:val="0"/>
          <w:numId w:val="10"/>
        </w:numPr>
        <w:ind w:left="426"/>
        <w:jc w:val="both"/>
        <w:rPr>
          <w:rFonts w:ascii="Arial" w:hAnsi="Arial" w:cs="Arial"/>
        </w:rPr>
      </w:pPr>
      <w:r w:rsidRPr="00094C97">
        <w:rPr>
          <w:rFonts w:ascii="Arial" w:hAnsi="Arial" w:cs="Arial"/>
        </w:rPr>
        <w:t xml:space="preserve">The evaluation committee will score the applications and make a shortlist. Pre-selected students will then be invited to an oral interview conducted in English or </w:t>
      </w:r>
      <w:r w:rsidR="00A10438">
        <w:rPr>
          <w:rFonts w:ascii="Arial" w:hAnsi="Arial" w:cs="Arial"/>
        </w:rPr>
        <w:t xml:space="preserve">eventually in </w:t>
      </w:r>
      <w:r w:rsidRPr="00094C97">
        <w:rPr>
          <w:rFonts w:ascii="Arial" w:hAnsi="Arial" w:cs="Arial"/>
        </w:rPr>
        <w:t xml:space="preserve">Spanish. Students unable to communicate in the language of the mobility will </w:t>
      </w:r>
      <w:r w:rsidRPr="00094C97">
        <w:rPr>
          <w:rFonts w:ascii="Arial" w:hAnsi="Arial" w:cs="Arial"/>
        </w:rPr>
        <w:t>not be selected.</w:t>
      </w:r>
    </w:p>
    <w:p w14:paraId="3D06EF0A" w14:textId="77777777"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t>Administration of Mobilities</w:t>
      </w:r>
    </w:p>
    <w:p w14:paraId="40F3C22C" w14:textId="0FFBA225" w:rsidR="00BE74FD" w:rsidRPr="00094C97" w:rsidRDefault="007D28F9" w:rsidP="00BE74FD">
      <w:pPr>
        <w:pStyle w:val="Odstavecseseznamem"/>
        <w:numPr>
          <w:ilvl w:val="0"/>
          <w:numId w:val="10"/>
        </w:numPr>
        <w:ind w:left="426"/>
        <w:jc w:val="both"/>
        <w:rPr>
          <w:rFonts w:ascii="Arial" w:hAnsi="Arial" w:cs="Arial"/>
        </w:rPr>
      </w:pPr>
      <w:r w:rsidRPr="00094C97">
        <w:rPr>
          <w:rFonts w:ascii="Arial" w:hAnsi="Arial" w:cs="Arial"/>
        </w:rPr>
        <w:t xml:space="preserve">Student mobilities are administered in the same way as </w:t>
      </w:r>
      <w:hyperlink r:id="rId15" w:history="1">
        <w:r w:rsidR="00937CF5">
          <w:rPr>
            <w:rStyle w:val="Hypertextovodkaz"/>
            <w:rFonts w:ascii="Arial" w:hAnsi="Arial" w:cs="Arial"/>
          </w:rPr>
          <w:t>internship</w:t>
        </w:r>
        <w:r w:rsidR="00BC22A5">
          <w:rPr>
            <w:rStyle w:val="Hypertextovodkaz"/>
            <w:rFonts w:ascii="Arial" w:hAnsi="Arial" w:cs="Arial"/>
          </w:rPr>
          <w:t xml:space="preserve"> placement</w:t>
        </w:r>
      </w:hyperlink>
      <w:r w:rsidRPr="00094C97">
        <w:rPr>
          <w:rFonts w:ascii="Arial" w:hAnsi="Arial" w:cs="Arial"/>
        </w:rPr>
        <w:t xml:space="preserve">. In addition, students must sign a </w:t>
      </w:r>
      <w:hyperlink r:id="rId16" w:history="1">
        <w:r w:rsidRPr="00BC22A5">
          <w:rPr>
            <w:rStyle w:val="Hypertextovodkaz"/>
            <w:rFonts w:ascii="Arial" w:hAnsi="Arial" w:cs="Arial"/>
          </w:rPr>
          <w:t>Student Agreement</w:t>
        </w:r>
      </w:hyperlink>
      <w:r w:rsidRPr="00094C97">
        <w:rPr>
          <w:rFonts w:ascii="Arial" w:hAnsi="Arial" w:cs="Arial"/>
        </w:rPr>
        <w:t xml:space="preserve">, which serves </w:t>
      </w:r>
      <w:r w:rsidRPr="00094C97">
        <w:rPr>
          <w:rFonts w:ascii="Arial" w:hAnsi="Arial" w:cs="Arial"/>
        </w:rPr>
        <w:t xml:space="preserve">for purchasing tickets, immediately after being </w:t>
      </w:r>
      <w:r w:rsidR="00F6417F">
        <w:rPr>
          <w:rFonts w:ascii="Arial" w:hAnsi="Arial" w:cs="Arial"/>
        </w:rPr>
        <w:t>selected</w:t>
      </w:r>
      <w:r w:rsidRPr="00094C97">
        <w:rPr>
          <w:rFonts w:ascii="Arial" w:hAnsi="Arial" w:cs="Arial"/>
        </w:rPr>
        <w:t xml:space="preserve">. The signatures of the students and the </w:t>
      </w:r>
      <w:r w:rsidRPr="00094C97">
        <w:rPr>
          <w:rFonts w:ascii="Arial" w:hAnsi="Arial" w:cs="Arial"/>
        </w:rPr>
        <w:lastRenderedPageBreak/>
        <w:t>faculty secretary on the agreement are arranged by the faculty in cooperation with OMVI.</w:t>
      </w:r>
    </w:p>
    <w:p w14:paraId="047CD595" w14:textId="679ED305" w:rsidR="00BE74FD" w:rsidRPr="00094C97" w:rsidRDefault="007D28F9" w:rsidP="00BE74FD">
      <w:pPr>
        <w:pStyle w:val="Odstavecseseznamem"/>
        <w:numPr>
          <w:ilvl w:val="0"/>
          <w:numId w:val="10"/>
        </w:numPr>
        <w:ind w:left="426"/>
        <w:jc w:val="both"/>
        <w:rPr>
          <w:rFonts w:ascii="Arial" w:hAnsi="Arial" w:cs="Arial"/>
        </w:rPr>
      </w:pPr>
      <w:r w:rsidRPr="00094C97">
        <w:rPr>
          <w:rFonts w:ascii="Arial" w:hAnsi="Arial" w:cs="Arial"/>
        </w:rPr>
        <w:t>The accompanying academic</w:t>
      </w:r>
      <w:r w:rsidR="00F6417F">
        <w:rPr>
          <w:rFonts w:ascii="Arial" w:hAnsi="Arial" w:cs="Arial"/>
        </w:rPr>
        <w:t>ian</w:t>
      </w:r>
      <w:r w:rsidRPr="00094C97">
        <w:rPr>
          <w:rFonts w:ascii="Arial" w:hAnsi="Arial" w:cs="Arial"/>
        </w:rPr>
        <w:t xml:space="preserve"> follows the regulations for business trips through a travel order. OMVI covers subsiste</w:t>
      </w:r>
      <w:r w:rsidRPr="00094C97">
        <w:rPr>
          <w:rFonts w:ascii="Arial" w:hAnsi="Arial" w:cs="Arial"/>
        </w:rPr>
        <w:t>nce and travel costs in accordance with the limits of the call.</w:t>
      </w:r>
    </w:p>
    <w:p w14:paraId="4E0D3563" w14:textId="1A928FE7" w:rsidR="003F5EF6" w:rsidRPr="00094C97" w:rsidRDefault="007D28F9" w:rsidP="00BE74FD">
      <w:pPr>
        <w:pStyle w:val="Odstavecseseznamem"/>
        <w:numPr>
          <w:ilvl w:val="0"/>
          <w:numId w:val="10"/>
        </w:numPr>
        <w:ind w:left="426"/>
        <w:jc w:val="both"/>
        <w:rPr>
          <w:rFonts w:ascii="Arial" w:hAnsi="Arial" w:cs="Arial"/>
        </w:rPr>
      </w:pPr>
      <w:r w:rsidRPr="00094C97">
        <w:rPr>
          <w:rFonts w:ascii="Arial" w:hAnsi="Arial" w:cs="Arial"/>
        </w:rPr>
        <w:t xml:space="preserve">Before departure, students must submit to OMVI a </w:t>
      </w:r>
      <w:hyperlink r:id="rId17" w:history="1">
        <w:r w:rsidRPr="003D5805">
          <w:rPr>
            <w:rStyle w:val="Hypertextovodkaz"/>
            <w:rFonts w:ascii="Arial" w:hAnsi="Arial" w:cs="Arial"/>
          </w:rPr>
          <w:t>Letter of Acceptance</w:t>
        </w:r>
      </w:hyperlink>
      <w:r w:rsidRPr="00094C97">
        <w:rPr>
          <w:rFonts w:ascii="Arial" w:hAnsi="Arial" w:cs="Arial"/>
        </w:rPr>
        <w:t xml:space="preserve"> (one joint letter is sufficient for the whole group) and a </w:t>
      </w:r>
      <w:hyperlink r:id="rId18" w:history="1">
        <w:r w:rsidRPr="003D2369">
          <w:rPr>
            <w:rStyle w:val="Hypertextovodkaz"/>
            <w:rFonts w:ascii="Arial" w:hAnsi="Arial" w:cs="Arial"/>
          </w:rPr>
          <w:t>Training Agreement</w:t>
        </w:r>
      </w:hyperlink>
      <w:r w:rsidRPr="00094C97">
        <w:rPr>
          <w:rFonts w:ascii="Arial" w:hAnsi="Arial" w:cs="Arial"/>
        </w:rPr>
        <w:t>. Both documents are facilitated by the acad</w:t>
      </w:r>
      <w:r w:rsidRPr="00094C97">
        <w:rPr>
          <w:rFonts w:ascii="Arial" w:hAnsi="Arial" w:cs="Arial"/>
        </w:rPr>
        <w:t>emic</w:t>
      </w:r>
      <w:r w:rsidR="0011304F">
        <w:rPr>
          <w:rFonts w:ascii="Arial" w:hAnsi="Arial" w:cs="Arial"/>
        </w:rPr>
        <w:t>ian</w:t>
      </w:r>
      <w:r w:rsidRPr="00094C97">
        <w:rPr>
          <w:rFonts w:ascii="Arial" w:hAnsi="Arial" w:cs="Arial"/>
        </w:rPr>
        <w:t xml:space="preserve">; in exceptional cases, they may be submitted after return together with the original </w:t>
      </w:r>
      <w:hyperlink r:id="rId19" w:history="1">
        <w:r w:rsidRPr="003D2369">
          <w:rPr>
            <w:rStyle w:val="Hypertextovodkaz"/>
            <w:rFonts w:ascii="Arial" w:hAnsi="Arial" w:cs="Arial"/>
          </w:rPr>
          <w:t>Traineeship Certificate</w:t>
        </w:r>
      </w:hyperlink>
      <w:r w:rsidRPr="00094C97">
        <w:rPr>
          <w:rFonts w:ascii="Arial" w:hAnsi="Arial" w:cs="Arial"/>
        </w:rPr>
        <w:t xml:space="preserve">. Furthermore, students complete a final report in </w:t>
      </w:r>
      <w:r w:rsidR="00B75217">
        <w:rPr>
          <w:rFonts w:ascii="Arial" w:hAnsi="Arial" w:cs="Arial"/>
        </w:rPr>
        <w:t xml:space="preserve">the </w:t>
      </w:r>
      <w:r w:rsidRPr="00094C97">
        <w:rPr>
          <w:rFonts w:ascii="Arial" w:hAnsi="Arial" w:cs="Arial"/>
        </w:rPr>
        <w:t>UIS; the academic</w:t>
      </w:r>
      <w:r w:rsidR="00B75217">
        <w:rPr>
          <w:rFonts w:ascii="Arial" w:hAnsi="Arial" w:cs="Arial"/>
        </w:rPr>
        <w:t>ian</w:t>
      </w:r>
      <w:r w:rsidRPr="00094C97">
        <w:rPr>
          <w:rFonts w:ascii="Arial" w:hAnsi="Arial" w:cs="Arial"/>
        </w:rPr>
        <w:t xml:space="preserve"> submits a detailed report of about one page, supplemented with photos (for</w:t>
      </w:r>
      <w:r w:rsidRPr="00094C97">
        <w:rPr>
          <w:rFonts w:ascii="Arial" w:hAnsi="Arial" w:cs="Arial"/>
        </w:rPr>
        <w:t xml:space="preserve"> further presentation purposes).</w:t>
      </w:r>
    </w:p>
    <w:p w14:paraId="6BC6003D" w14:textId="77777777"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t>Mandatory Publicity</w:t>
      </w:r>
    </w:p>
    <w:p w14:paraId="260405DE" w14:textId="77777777" w:rsidR="003F5EF6" w:rsidRPr="00094C97" w:rsidRDefault="007D28F9" w:rsidP="00BE74FD">
      <w:pPr>
        <w:pStyle w:val="Odstavecseseznamem"/>
        <w:numPr>
          <w:ilvl w:val="0"/>
          <w:numId w:val="10"/>
        </w:numPr>
        <w:ind w:left="426"/>
        <w:jc w:val="both"/>
        <w:rPr>
          <w:rFonts w:ascii="Arial" w:hAnsi="Arial" w:cs="Arial"/>
        </w:rPr>
      </w:pPr>
      <w:r w:rsidRPr="00094C97">
        <w:rPr>
          <w:rFonts w:ascii="Arial" w:hAnsi="Arial" w:cs="Arial"/>
        </w:rPr>
        <w:t>A mandatory part of the mobility is a presentation of the outputs to the wider academic community within 6 months after return. This may take the form of a discussion with students (e.g., at the Green cl</w:t>
      </w:r>
      <w:r w:rsidRPr="00094C97">
        <w:rPr>
          <w:rFonts w:ascii="Arial" w:hAnsi="Arial" w:cs="Arial"/>
        </w:rPr>
        <w:t>ub), a photo exhibition on campus, participation in student conferences, etc.</w:t>
      </w:r>
    </w:p>
    <w:p w14:paraId="0361EA19" w14:textId="77777777" w:rsidR="003F5EF6" w:rsidRPr="00094C97" w:rsidRDefault="007D28F9" w:rsidP="00FA21D5">
      <w:pPr>
        <w:pStyle w:val="Nadpis2"/>
        <w:spacing w:after="200"/>
        <w:jc w:val="both"/>
        <w:rPr>
          <w:rFonts w:ascii="Arial" w:hAnsi="Arial" w:cs="Arial"/>
          <w:color w:val="9BBB59" w:themeColor="accent3"/>
        </w:rPr>
      </w:pPr>
      <w:r w:rsidRPr="00094C97">
        <w:rPr>
          <w:rFonts w:ascii="Arial" w:hAnsi="Arial" w:cs="Arial"/>
          <w:color w:val="9BBB59" w:themeColor="accent3"/>
        </w:rPr>
        <w:t>Further Information</w:t>
      </w:r>
    </w:p>
    <w:p w14:paraId="4EF7094E" w14:textId="55B7D51A" w:rsidR="00653252" w:rsidRPr="00094C97" w:rsidRDefault="00F62C01" w:rsidP="003D3D22">
      <w:pPr>
        <w:pStyle w:val="Odstavecseseznamem"/>
        <w:numPr>
          <w:ilvl w:val="0"/>
          <w:numId w:val="15"/>
        </w:numPr>
        <w:ind w:left="426"/>
        <w:rPr>
          <w:rFonts w:ascii="Arial" w:hAnsi="Arial" w:cs="Arial"/>
        </w:rPr>
      </w:pPr>
      <w:r>
        <w:rPr>
          <w:rFonts w:ascii="Arial" w:hAnsi="Arial" w:cs="Arial"/>
        </w:rPr>
        <w:t>f</w:t>
      </w:r>
      <w:r w:rsidR="007D28F9" w:rsidRPr="00094C97">
        <w:rPr>
          <w:rFonts w:ascii="Arial" w:hAnsi="Arial" w:cs="Arial"/>
        </w:rPr>
        <w:t xml:space="preserve">or academics: </w:t>
      </w:r>
      <w:hyperlink r:id="rId20" w:history="1">
        <w:r w:rsidR="00D04DD4" w:rsidRPr="00094C97">
          <w:rPr>
            <w:rStyle w:val="Hypertextovodkaz"/>
            <w:rFonts w:ascii="Arial" w:hAnsi="Arial" w:cs="Arial"/>
          </w:rPr>
          <w:t>https://international.mendelu.cz/en/academic-staff-mobility-with-students/</w:t>
        </w:r>
      </w:hyperlink>
      <w:r w:rsidR="00D04DD4" w:rsidRPr="00094C97">
        <w:rPr>
          <w:rFonts w:ascii="Arial" w:hAnsi="Arial" w:cs="Arial"/>
        </w:rPr>
        <w:t xml:space="preserve"> </w:t>
      </w:r>
    </w:p>
    <w:p w14:paraId="5E5E6964" w14:textId="61209405" w:rsidR="003F5EF6" w:rsidRPr="00094C97" w:rsidRDefault="00F62C01" w:rsidP="003D3D22">
      <w:pPr>
        <w:pStyle w:val="Odstavecseseznamem"/>
        <w:numPr>
          <w:ilvl w:val="0"/>
          <w:numId w:val="15"/>
        </w:numPr>
        <w:ind w:left="426"/>
        <w:rPr>
          <w:rFonts w:ascii="Arial" w:hAnsi="Arial" w:cs="Arial"/>
        </w:rPr>
      </w:pPr>
      <w:r>
        <w:rPr>
          <w:rFonts w:ascii="Arial" w:hAnsi="Arial" w:cs="Arial"/>
        </w:rPr>
        <w:t>f</w:t>
      </w:r>
      <w:r w:rsidR="007D28F9" w:rsidRPr="00094C97">
        <w:rPr>
          <w:rFonts w:ascii="Arial" w:hAnsi="Arial" w:cs="Arial"/>
        </w:rPr>
        <w:t xml:space="preserve">or students: </w:t>
      </w:r>
      <w:hyperlink r:id="rId21" w:history="1">
        <w:r w:rsidR="00D04DD4" w:rsidRPr="00094C97">
          <w:rPr>
            <w:rStyle w:val="Hypertextovodkaz"/>
            <w:rFonts w:ascii="Arial" w:hAnsi="Arial" w:cs="Arial"/>
          </w:rPr>
          <w:t>https://international.mendelu.cz/en/internship-placement/mobility-with-academic-staff/</w:t>
        </w:r>
      </w:hyperlink>
      <w:r w:rsidR="00D04DD4" w:rsidRPr="00094C97">
        <w:rPr>
          <w:rFonts w:ascii="Arial" w:hAnsi="Arial" w:cs="Arial"/>
        </w:rPr>
        <w:t xml:space="preserve"> </w:t>
      </w:r>
    </w:p>
    <w:sectPr w:rsidR="003F5EF6" w:rsidRPr="00094C97" w:rsidSect="00BE74FD">
      <w:headerReference w:type="default" r:id="rId22"/>
      <w:pgSz w:w="12240" w:h="15840"/>
      <w:pgMar w:top="291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6DCE" w14:textId="77777777" w:rsidR="000B2315" w:rsidRDefault="000B2315" w:rsidP="000B2315">
      <w:pPr>
        <w:spacing w:after="0" w:line="240" w:lineRule="auto"/>
      </w:pPr>
      <w:r>
        <w:separator/>
      </w:r>
    </w:p>
  </w:endnote>
  <w:endnote w:type="continuationSeparator" w:id="0">
    <w:p w14:paraId="4A39E897" w14:textId="77777777" w:rsidR="000B2315" w:rsidRDefault="000B2315" w:rsidP="000B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D3F4" w14:textId="77777777" w:rsidR="000B2315" w:rsidRDefault="000B2315" w:rsidP="000B2315">
      <w:pPr>
        <w:spacing w:after="0" w:line="240" w:lineRule="auto"/>
      </w:pPr>
      <w:r>
        <w:separator/>
      </w:r>
    </w:p>
  </w:footnote>
  <w:footnote w:type="continuationSeparator" w:id="0">
    <w:p w14:paraId="50C48F76" w14:textId="77777777" w:rsidR="000B2315" w:rsidRDefault="000B2315" w:rsidP="000B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928E" w14:textId="7987F32F" w:rsidR="000B2315" w:rsidRPr="000B2315" w:rsidRDefault="000B2315" w:rsidP="000B2315">
    <w:pPr>
      <w:pStyle w:val="Zhlav"/>
    </w:pPr>
    <w:r>
      <w:rPr>
        <w:noProof/>
        <w:lang w:eastAsia="cs-CZ"/>
      </w:rPr>
      <w:drawing>
        <wp:inline distT="0" distB="0" distL="0" distR="0" wp14:anchorId="6F8946A9" wp14:editId="0068BF0E">
          <wp:extent cx="1335024" cy="996696"/>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024" cy="996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02F176FE"/>
    <w:multiLevelType w:val="hybridMultilevel"/>
    <w:tmpl w:val="5FCCB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9F114E"/>
    <w:multiLevelType w:val="hybridMultilevel"/>
    <w:tmpl w:val="E60E255A"/>
    <w:lvl w:ilvl="0" w:tplc="0FFA2B3C">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5D2B55"/>
    <w:multiLevelType w:val="hybridMultilevel"/>
    <w:tmpl w:val="152A6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5E5ED5"/>
    <w:multiLevelType w:val="hybridMultilevel"/>
    <w:tmpl w:val="9C04BC84"/>
    <w:lvl w:ilvl="0" w:tplc="0FFA2B3C">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196794"/>
    <w:multiLevelType w:val="hybridMultilevel"/>
    <w:tmpl w:val="EB34AA8C"/>
    <w:lvl w:ilvl="0" w:tplc="0FFA2B3C">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A858BA"/>
    <w:multiLevelType w:val="hybridMultilevel"/>
    <w:tmpl w:val="4D505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1"/>
  </w:num>
  <w:num w:numId="12">
    <w:abstractNumId w:val="10"/>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5E72"/>
    <w:rsid w:val="0006063C"/>
    <w:rsid w:val="00094C97"/>
    <w:rsid w:val="000B2315"/>
    <w:rsid w:val="000C2D5A"/>
    <w:rsid w:val="0011304F"/>
    <w:rsid w:val="00114C1E"/>
    <w:rsid w:val="00115FF7"/>
    <w:rsid w:val="0015074B"/>
    <w:rsid w:val="001E5020"/>
    <w:rsid w:val="001F3775"/>
    <w:rsid w:val="0029639D"/>
    <w:rsid w:val="00326F90"/>
    <w:rsid w:val="003D2369"/>
    <w:rsid w:val="003D3D22"/>
    <w:rsid w:val="003D5805"/>
    <w:rsid w:val="003F5EF6"/>
    <w:rsid w:val="0042328D"/>
    <w:rsid w:val="00426E0B"/>
    <w:rsid w:val="00435172"/>
    <w:rsid w:val="00526BDA"/>
    <w:rsid w:val="00531507"/>
    <w:rsid w:val="00653252"/>
    <w:rsid w:val="00700CCF"/>
    <w:rsid w:val="007257C2"/>
    <w:rsid w:val="00751502"/>
    <w:rsid w:val="007D28F9"/>
    <w:rsid w:val="007E2093"/>
    <w:rsid w:val="00806FB2"/>
    <w:rsid w:val="00875B0E"/>
    <w:rsid w:val="00937CF5"/>
    <w:rsid w:val="009B33EF"/>
    <w:rsid w:val="009B4768"/>
    <w:rsid w:val="00A10438"/>
    <w:rsid w:val="00AA1D8D"/>
    <w:rsid w:val="00B372A0"/>
    <w:rsid w:val="00B47730"/>
    <w:rsid w:val="00B75217"/>
    <w:rsid w:val="00BC22A5"/>
    <w:rsid w:val="00BE74FD"/>
    <w:rsid w:val="00CB0664"/>
    <w:rsid w:val="00CE12D5"/>
    <w:rsid w:val="00D04DD4"/>
    <w:rsid w:val="00DC5C84"/>
    <w:rsid w:val="00F455D6"/>
    <w:rsid w:val="00F62C01"/>
    <w:rsid w:val="00F6417F"/>
    <w:rsid w:val="00FA21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C10271"/>
  <w14:defaultImageDpi w14:val="300"/>
  <w15:docId w15:val="{FECAA9B2-F315-44CE-9B45-9966E3F5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textovodkaz">
    <w:name w:val="Hyperlink"/>
    <w:basedOn w:val="Standardnpsmoodstavce"/>
    <w:uiPriority w:val="99"/>
    <w:unhideWhenUsed/>
    <w:rsid w:val="00653252"/>
    <w:rPr>
      <w:color w:val="0000FF" w:themeColor="hyperlink"/>
      <w:u w:val="single"/>
    </w:rPr>
  </w:style>
  <w:style w:type="character" w:styleId="Nevyeenzmnka">
    <w:name w:val="Unresolved Mention"/>
    <w:basedOn w:val="Standardnpsmoodstavce"/>
    <w:uiPriority w:val="99"/>
    <w:semiHidden/>
    <w:unhideWhenUsed/>
    <w:rsid w:val="00653252"/>
    <w:rPr>
      <w:color w:val="605E5C"/>
      <w:shd w:val="clear" w:color="auto" w:fill="E1DFDD"/>
    </w:rPr>
  </w:style>
  <w:style w:type="character" w:styleId="Sledovanodkaz">
    <w:name w:val="FollowedHyperlink"/>
    <w:basedOn w:val="Standardnpsmoodstavce"/>
    <w:uiPriority w:val="99"/>
    <w:semiHidden/>
    <w:unhideWhenUsed/>
    <w:rsid w:val="007E2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mendelu.cz/wp-content/uploads/2022/09/dohoda_student-CJAJ.doc" TargetMode="External"/><Relationship Id="rId18" Type="http://schemas.openxmlformats.org/officeDocument/2006/relationships/hyperlink" Target="https://international.mendelu.cz/wp-content/uploads/2022/09/training_agreement-bilateral.doc" TargetMode="External"/><Relationship Id="rId3" Type="http://schemas.openxmlformats.org/officeDocument/2006/relationships/customXml" Target="../customXml/item3.xml"/><Relationship Id="rId21" Type="http://schemas.openxmlformats.org/officeDocument/2006/relationships/hyperlink" Target="https://international.mendelu.cz/en/internship-placement/mobility-with-academic-staff/" TargetMode="External"/><Relationship Id="rId7" Type="http://schemas.openxmlformats.org/officeDocument/2006/relationships/settings" Target="settings.xml"/><Relationship Id="rId12" Type="http://schemas.openxmlformats.org/officeDocument/2006/relationships/hyperlink" Target="https://international.mendelu.cz/en/schedule_students/" TargetMode="External"/><Relationship Id="rId17" Type="http://schemas.openxmlformats.org/officeDocument/2006/relationships/hyperlink" Target="https://is.mendelu.cz/auth/dok_server/slozka.pl?id=78908;pril=1;download=11431;z=1;lang=cz" TargetMode="External"/><Relationship Id="rId2" Type="http://schemas.openxmlformats.org/officeDocument/2006/relationships/customXml" Target="../customXml/item2.xml"/><Relationship Id="rId16" Type="http://schemas.openxmlformats.org/officeDocument/2006/relationships/hyperlink" Target="https://international.mendelu.cz/wp-content/uploads/2022/09/dohoda_student-CJAJ.doc" TargetMode="External"/><Relationship Id="rId20" Type="http://schemas.openxmlformats.org/officeDocument/2006/relationships/hyperlink" Target="https://international.mendelu.cz/en/academic-staff-mobility-with-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mendelu.cz/en/ph-d-research-traineeshi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national.mendelu.cz/en/internship-placement/bilateral-agree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ernational.mendelu.cz/wp-content/uploads/2022/09/traineeship-certificate-bilater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wnnDD6yaHEqfvfTcIJmenG4fD3WuVXlBrJoK8jU5mNVUMDZGRjQ4SUhQT1ZIQjdVNlFQMjBBQkZPVS4u&amp;7origin=Invitation&amp;channel=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8" ma:contentTypeDescription="Vytvoří nový dokument" ma:contentTypeScope="" ma:versionID="6e39479cc642d79a883c30b1beca03e6">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0314df5d2e5d3a231ed3722cf7ba2945"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fd28172-b3bc-4358-a7a8-1bf912aa2b13}"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AD61A0B-10A1-43D1-BC38-0EC393A39D30}">
  <ds:schemaRefs>
    <ds:schemaRef ds:uri="http://schemas.microsoft.com/office/2006/metadata/properties"/>
    <ds:schemaRef ds:uri="http://schemas.microsoft.com/office/infopath/2007/PartnerControls"/>
    <ds:schemaRef ds:uri="c6bce513-6003-4b7b-974d-860c1e2b1d0e"/>
    <ds:schemaRef ds:uri="af0e88ba-4d4c-4050-ba7b-e2a7d04bdf18"/>
  </ds:schemaRefs>
</ds:datastoreItem>
</file>

<file path=customXml/itemProps3.xml><?xml version="1.0" encoding="utf-8"?>
<ds:datastoreItem xmlns:ds="http://schemas.openxmlformats.org/officeDocument/2006/customXml" ds:itemID="{F9431423-DF12-4DB7-9FC3-37340B5E0BD5}">
  <ds:schemaRefs>
    <ds:schemaRef ds:uri="http://schemas.microsoft.com/sharepoint/v3/contenttype/forms"/>
  </ds:schemaRefs>
</ds:datastoreItem>
</file>

<file path=customXml/itemProps4.xml><?xml version="1.0" encoding="utf-8"?>
<ds:datastoreItem xmlns:ds="http://schemas.openxmlformats.org/officeDocument/2006/customXml" ds:itemID="{DDD8C403-397F-47FF-9E0B-BB18ED19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ce513-6003-4b7b-974d-860c1e2b1d0e"/>
    <ds:schemaRef ds:uri="af0e88ba-4d4c-4050-ba7b-e2a7d04b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1019</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Kateřina Brzokoupilová</cp:lastModifiedBy>
  <cp:revision>42</cp:revision>
  <dcterms:created xsi:type="dcterms:W3CDTF">2025-09-18T12:30:00Z</dcterms:created>
  <dcterms:modified xsi:type="dcterms:W3CDTF">2025-09-18T13:20:00Z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y fmtid="{D5CDD505-2E9C-101B-9397-08002B2CF9AE}" pid="3" name="MediaServiceImageTags">
    <vt:lpwstr/>
  </property>
</Properties>
</file>